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9"/>
          <w:tab w:val="left" w:pos="2760" w:leader="none"/>
        </w:tabs>
        <w:suppressAutoHyphens w:val="false"/>
        <w:jc w:val="center"/>
        <w:rPr/>
      </w:pPr>
      <w:r>
        <w:rPr>
          <w:rFonts w:eastAsia="Times New Roman"/>
          <w:b/>
          <w:bCs/>
          <w:sz w:val="21"/>
          <w:szCs w:val="21"/>
          <w:lang w:val="en" w:eastAsia="en-US"/>
        </w:rPr>
        <w:t>LECTIONARY FOR  THE SEVENTH WEEK OF TRINITY SEASON</w:t>
      </w:r>
    </w:p>
    <w:p>
      <w:pPr>
        <w:pStyle w:val="Normal"/>
        <w:widowControl/>
        <w:tabs>
          <w:tab w:val="clear" w:pos="709"/>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pPr>
      <w:r>
        <w:rPr>
          <w:rFonts w:eastAsia="Times New Roman"/>
          <w:sz w:val="21"/>
          <w:szCs w:val="21"/>
          <w:lang w:val="en" w:eastAsia="en-US"/>
        </w:rPr>
        <w:t xml:space="preserve">                                  </w:t>
      </w:r>
      <w:r>
        <w:rPr>
          <w:rFonts w:eastAsia="Times New Roman"/>
          <w:sz w:val="22"/>
          <w:szCs w:val="22"/>
          <w:lang w:val="en" w:eastAsia="en-US"/>
        </w:rPr>
        <w:t xml:space="preserve"> </w:t>
      </w:r>
      <w:r>
        <w:rPr>
          <w:rFonts w:eastAsia="Times New Roman"/>
          <w:sz w:val="22"/>
          <w:szCs w:val="22"/>
          <w:lang w:val="en" w:eastAsia="en-US"/>
        </w:rPr>
        <w:t>Morning                            Evening</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pPr>
      <w:r>
        <w:rPr>
          <w:rFonts w:eastAsia="Times New Roman"/>
          <w:sz w:val="21"/>
          <w:szCs w:val="21"/>
          <w:lang w:val="en" w:eastAsia="en-US"/>
        </w:rPr>
        <w:t>July 11, The  Sixth Sunday after  Trinity</w:t>
      </w:r>
    </w:p>
    <w:p>
      <w:pPr>
        <w:pStyle w:val="Normal"/>
        <w:widowControl/>
        <w:tabs>
          <w:tab w:val="clear" w:pos="709"/>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Samuel 1                             2 Samuel 7</w:t>
      </w:r>
    </w:p>
    <w:p>
      <w:pPr>
        <w:pStyle w:val="Normal"/>
        <w:widowControl/>
        <w:tabs>
          <w:tab w:val="clear" w:pos="709"/>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Mark 7: 24–8: 10                   Matthew 7</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pPr>
      <w:r>
        <w:rPr>
          <w:rFonts w:eastAsia="Times New Roman"/>
          <w:sz w:val="21"/>
          <w:szCs w:val="21"/>
          <w:lang w:val="en" w:eastAsia="en-US"/>
        </w:rPr>
        <w:t>July 12, Monday</w:t>
      </w:r>
    </w:p>
    <w:p>
      <w:pPr>
        <w:pStyle w:val="Normal"/>
        <w:widowControl/>
        <w:tabs>
          <w:tab w:val="clear" w:pos="709"/>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Chronicles 13                      2 Chronicles 14</w:t>
      </w:r>
    </w:p>
    <w:p>
      <w:pPr>
        <w:pStyle w:val="Normal"/>
        <w:widowControl/>
        <w:tabs>
          <w:tab w:val="clear" w:pos="709"/>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Galatians 4:1–5:1                   Luke 9: 51--end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pPr>
      <w:r>
        <w:rPr>
          <w:rFonts w:eastAsia="Times New Roman"/>
          <w:sz w:val="21"/>
          <w:szCs w:val="21"/>
          <w:lang w:val="en" w:eastAsia="en-US"/>
        </w:rPr>
        <w:t>July 13, Tuesday</w:t>
      </w:r>
    </w:p>
    <w:p>
      <w:pPr>
        <w:pStyle w:val="Normal"/>
        <w:widowControl/>
        <w:tabs>
          <w:tab w:val="clear" w:pos="709"/>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Chronicles 15                     2 Chronicles 16</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Galatians 5:2—end               Luke 10: 1--22</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14, Wednesday</w:t>
      </w:r>
    </w:p>
    <w:p>
      <w:pPr>
        <w:pStyle w:val="Normal"/>
        <w:widowControl/>
        <w:tabs>
          <w:tab w:val="clear" w:pos="709"/>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1 Kings 16: 15—end             1 Kings 17</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Galatians 6                             Luke 10:23–1l:13</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15, Thursday</w:t>
      </w:r>
    </w:p>
    <w:p>
      <w:pPr>
        <w:pStyle w:val="Normal"/>
        <w:widowControl/>
        <w:tabs>
          <w:tab w:val="clear" w:pos="709"/>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1 Kings  18:1–16                     1 Kings 18: 17--end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1: 1–25              Luke 12: 1--34</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16, Friday</w:t>
      </w:r>
    </w:p>
    <w:p>
      <w:pPr>
        <w:pStyle w:val="Normal"/>
        <w:widowControl/>
        <w:tabs>
          <w:tab w:val="clear" w:pos="709"/>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1 Kings 19                                1 Kings 21</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1 Corinthians 1: 26–2 end        Luke 12:35--end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17, Saturday</w:t>
      </w:r>
    </w:p>
    <w:p>
      <w:pPr>
        <w:pStyle w:val="Normal"/>
        <w:widowControl/>
        <w:tabs>
          <w:tab w:val="clear" w:pos="709"/>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1 Kings 22: 1–40                       2 Chron. 20: 1--30</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1 Coeinthians                            Luke 13</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18, The Seventh Sunday after Trinity</w:t>
      </w:r>
    </w:p>
    <w:p>
      <w:pPr>
        <w:pStyle w:val="Normal"/>
        <w:widowControl/>
        <w:tabs>
          <w:tab w:val="clear" w:pos="709"/>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 xml:space="preserve">2 Samuel 18                             </w:t>
      </w:r>
      <w:r>
        <w:rPr>
          <w:rFonts w:eastAsia="Times New Roman"/>
          <w:sz w:val="21"/>
          <w:szCs w:val="21"/>
          <w:lang w:val="en" w:eastAsia="en-US"/>
        </w:rPr>
        <w:t>I Kings 3</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Mark 9:2–32                            Acts</w:t>
      </w:r>
      <w:r>
        <w:rPr>
          <w:rFonts w:eastAsia="Times New Roman"/>
          <w:sz w:val="21"/>
          <w:szCs w:val="21"/>
          <w:lang w:val="en" w:eastAsia="en-US"/>
        </w:rPr>
        <w:t xml:space="preserve"> 16: 6--end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center"/>
        <w:rPr>
          <w:rFonts w:eastAsia="Times New Roman"/>
          <w:kern w:val="2"/>
          <w:sz w:val="21"/>
          <w:szCs w:val="21"/>
          <w:lang w:val="en" w:eastAsia="en-US"/>
        </w:rPr>
      </w:pPr>
      <w:r>
        <w:rPr>
          <w:rFonts w:eastAsia="Times New Roman"/>
          <w:b/>
          <w:bCs/>
          <w:kern w:val="2"/>
          <w:sz w:val="21"/>
          <w:szCs w:val="21"/>
          <w:lang w:val="en" w:eastAsia="en-US"/>
        </w:rPr>
        <w:t>TRINITY VI</w:t>
      </w:r>
    </w:p>
    <w:p>
      <w:pPr>
        <w:pStyle w:val="Normal"/>
        <w:widowControl/>
        <w:suppressAutoHyphens w:val="false"/>
        <w:jc w:val="center"/>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ab/>
        <w:t>In Romans 6:3--11, our first reading today, Paul was grappling with a hard question which might not be obvious if the passage is read out of context.  At Romans 6:1, he brought up an argument his opponents had hurled at him,  "Shall we continue in sin that grace may abound?"</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ab/>
        <w:t>In the first five chapters of this monumental epistle (Paul's longest and deepest by far), he had set forth the Gospel of Justification by Faith, God's free pardon of hell-deserving sinners, a pardon totally irrespective of our legal status, rather a pardon grounded exclusively in His mercy and love.  Such a Gospel quickly makes nonsense of all conventional religion, now as well as then.   No wonder that the rich young ruler went away sorrowful.  Not only was he told to sell all that he had, but moreover, all his legal righteousness was worthless in God's sight.</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ab/>
        <w:t>Such a radical Gospel (in sinful ears, downright insulting!) in what Paul termed a "reprobate mind" (a mind corrupted by wickedness) seemed to constitute a temptation in itself.  If God is willing to forgive sin freely, then why not continue to sin freely?   This is almost like the Prodigal Son who expects his Father to send him a regular allowance, as he continues to reside in the "far country" of depraved living.</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ab/>
        <w:t xml:space="preserve">As warped as such a viewpoint is, it has an evil sort of logic about it.  In ancient times this was known as the Antinomian heresy.  In last 20th century this re-emerged under the name of "situation ethics."  </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ab/>
        <w:t>Paul refuted this with a two-stage argument. In the first place, we Christians are baptized.  This sacrament for Paul makes a real difference in the life of a Christian, a mile-stone which divides our lives into "before" and "after," as surely as the Incarnation divided all time into "before Christ" and "in the year of our Lord."  It is illogical for a person to live after Baptism as he lived before it.  Baptism in the New Testament was so radical a change that it was the sign of regeneration---new birth into a new life and new life-style.</w:t>
      </w:r>
    </w:p>
    <w:p>
      <w:pPr>
        <w:pStyle w:val="Normal"/>
        <w:widowControl/>
        <w:suppressAutoHyphens w:val="false"/>
        <w:jc w:val="left"/>
        <w:rPr/>
      </w:pPr>
      <w:r>
        <w:rPr>
          <w:rFonts w:eastAsia="Times New Roman"/>
          <w:kern w:val="2"/>
          <w:sz w:val="21"/>
          <w:szCs w:val="21"/>
          <w:lang w:val="en" w:eastAsia="en-US"/>
        </w:rPr>
        <w:tab/>
        <w:t>Secondly, Baptism is the sign, the beginning, and the down-payment of our resurrection.  Did you notice that some today's Epistle is quoted in the Easter Canticle?  "Christ being raised from the dead dieth no more..."  Paul clinches his argument, however, in these words:  "As Christ was raised up from the dead by the glory of the Father, even so we also should walk in newness of life."  The Resurrection itself is therefore the ultimate argument for moral living!  Christians cannot continue to live comfortably with sin.  We have a risen Saviour who shares His resurrection life with us.  Death has no dominion over Him and sin has no more dominion over us.</w:t>
        <w:tab/>
        <w:t>LKW</w:t>
      </w:r>
    </w:p>
    <w:p>
      <w:pPr>
        <w:pStyle w:val="Normal"/>
        <w:widowControl/>
        <w:suppressAutoHyphens w:val="false"/>
        <w:jc w:val="center"/>
        <w:rPr>
          <w:rFonts w:eastAsia="Times New Roman"/>
          <w:b/>
          <w:b/>
          <w:bCs/>
          <w:kern w:val="2"/>
          <w:sz w:val="20"/>
          <w:szCs w:val="20"/>
          <w:lang w:val="en" w:eastAsia="en-US"/>
        </w:rPr>
      </w:pPr>
      <w:r>
        <w:rPr>
          <w:rFonts w:eastAsia="Times New Roman"/>
          <w:b/>
          <w:bCs/>
          <w:kern w:val="2"/>
          <w:sz w:val="20"/>
          <w:szCs w:val="20"/>
          <w:lang w:val="en" w:eastAsia="en-US"/>
        </w:rPr>
      </w:r>
    </w:p>
    <w:p>
      <w:pPr>
        <w:pStyle w:val="Normal"/>
        <w:widowControl/>
        <w:suppressAutoHyphens w:val="false"/>
        <w:jc w:val="center"/>
        <w:rPr>
          <w:rFonts w:eastAsia="Times New Roman"/>
          <w:b/>
          <w:b/>
          <w:bCs/>
          <w:kern w:val="2"/>
          <w:sz w:val="20"/>
          <w:szCs w:val="20"/>
          <w:lang w:val="en" w:eastAsia="en-US"/>
        </w:rPr>
      </w:pPr>
      <w:r>
        <w:rPr>
          <w:rFonts w:eastAsia="Times New Roman"/>
          <w:b/>
          <w:bCs/>
          <w:kern w:val="2"/>
          <w:sz w:val="20"/>
          <w:szCs w:val="20"/>
          <w:lang w:val="en" w:eastAsia="en-US"/>
        </w:rPr>
      </w:r>
    </w:p>
    <w:p>
      <w:pPr>
        <w:pStyle w:val="Normal"/>
        <w:widowControl/>
        <w:suppressAutoHyphens w:val="false"/>
        <w:jc w:val="both"/>
        <w:rPr>
          <w:rFonts w:eastAsia="Times New Roman"/>
          <w:b/>
          <w:b/>
          <w:bCs/>
          <w:kern w:val="2"/>
          <w:sz w:val="21"/>
          <w:szCs w:val="21"/>
          <w:lang w:val="en" w:eastAsia="en-US"/>
        </w:rPr>
      </w:pPr>
      <w:r>
        <w:rPr>
          <w:b/>
          <w:bCs/>
        </w:rPr>
      </w:r>
    </w:p>
    <w:p>
      <w:pPr>
        <w:pStyle w:val="Normal"/>
        <w:widowControl/>
        <w:suppressAutoHyphens w:val="false"/>
        <w:jc w:val="both"/>
        <w:rPr/>
      </w:pPr>
      <w:r>
        <w:rPr/>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kern w:val="0"/>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Hyper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0"/>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andFooter">
    <w:name w:val="Header and Footer"/>
    <w:basedOn w:val="Normal"/>
    <w:qFormat/>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Application>LibreOffice/7.0.4.2$Linux_X86_64 LibreOffice_project/00$Build-2</Application>
  <AppVersion>15.0000</AppVersion>
  <Pages>2</Pages>
  <Words>656</Words>
  <Characters>2948</Characters>
  <CharactersWithSpaces>4356</CharactersWithSpaces>
  <Paragraphs>33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dcterms:modified xsi:type="dcterms:W3CDTF">2021-07-06T09:55:10Z</dcterms:modified>
  <cp:revision>411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